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200"/>
      </w:pPr>
      <w:r>
        <w:rPr>
          <w:rFonts w:ascii="Arial" w:cs="Arial" w:eastAsia="Arial" w:hAnsi="Arial"/>
          <w:b/>
          <w:bCs/>
          <w:color w:val="BB0000"/>
          <w:spacing w:val="200"/>
          <w:sz w:val="18"/>
          <w:szCs w:val="18"/>
        </w:rPr>
        <w:t xml:space="preserve">PARTNERSHIP PROSPECTUS</w:t>
      </w:r>
    </w:p>
    <w:p>
      <w:pPr>
        <w:spacing w:after="160" w:before="0"/>
      </w:pPr>
      <w:r>
        <w:rPr>
          <w:rFonts w:ascii="Arial" w:cs="Arial" w:eastAsia="Arial" w:hAnsi="Arial"/>
          <w:b/>
          <w:bCs/>
          <w:color w:val="1A1917"/>
          <w:sz w:val="72"/>
          <w:szCs w:val="72"/>
        </w:rPr>
        <w:t xml:space="preserve">Power the Future</w:t>
      </w:r>
    </w:p>
    <w:p>
      <w:pPr>
        <w:spacing w:after="240" w:before="0"/>
      </w:pPr>
      <w:r>
        <w:rPr>
          <w:rFonts w:ascii="Arial" w:cs="Arial" w:eastAsia="Arial" w:hAnsi="Arial"/>
          <w:b/>
          <w:bCs/>
          <w:color w:val="BB0000"/>
          <w:sz w:val="72"/>
          <w:szCs w:val="72"/>
        </w:rPr>
        <w:t xml:space="preserve">of Mobility.</w:t>
      </w:r>
    </w:p>
    <w:p>
      <w:pPr>
        <w:spacing w:after="600" w:before="0"/>
      </w:pPr>
      <w:r>
        <w:rPr>
          <w:rFonts w:ascii="Arial" w:cs="Arial" w:eastAsia="Arial" w:hAnsi="Arial"/>
          <w:color w:val="44413C"/>
          <w:sz w:val="22"/>
          <w:szCs w:val="22"/>
        </w:rPr>
        <w:t xml:space="preserve">OSU EcoCAR is Ohio State’s engineering competition team competing in the EcoCAR Innovation Challenge — backed by the U.S. Department of Energy and General Motors.</w:t>
      </w:r>
    </w:p>
    <w:p>
      <w:pPr>
        <w:pBdr>
          <w:top w:val="single" w:color="E0DEDA" w:sz="2" w:space="6"/>
        </w:pBdr>
        <w:spacing w:after="60" w:before="0"/>
      </w:pPr>
      <w:r>
        <w:rPr>
          <w:rFonts w:ascii="Arial" w:cs="Arial" w:eastAsia="Arial" w:hAnsi="Arial"/>
          <w:color w:val="44413C"/>
          <w:sz w:val="18"/>
          <w:szCs w:val="18"/>
        </w:rPr>
        <w:t xml:space="preserve">The Ohio State University  ·  EcoCAR Innovation Challenge</w:t>
      </w:r>
    </w:p>
    <w:p>
      <w:pPr>
        <w:spacing w:after="0" w:before="0"/>
      </w:pPr>
      <w:r>
        <w:rPr>
          <w:rFonts w:ascii="Arial" w:cs="Arial" w:eastAsia="Arial" w:hAnsi="Arial"/>
          <w:color w:val="44413C"/>
          <w:sz w:val="18"/>
          <w:szCs w:val="18"/>
        </w:rPr>
        <w:t xml:space="preserve">osuecocar@outlook.com  ·  </w:t>
      </w:r>
      <w:r>
        <w:rPr>
          <w:rFonts w:ascii="Arial" w:cs="Arial" w:eastAsia="Arial" w:hAnsi="Arial"/>
          <w:color w:val="BB0000"/>
          <w:sz w:val="18"/>
          <w:szCs w:val="18"/>
        </w:rPr>
        <w:t xml:space="preserve">osuecocar.org/partners</w:t>
      </w:r>
    </w:p>
    <w:p>
      <w:r>
        <w:br w:type="page"/>
      </w:r>
    </w:p>
    <w:p>
      <w:pPr>
        <w:sectPr>
          <w:pgSz w:w="12240" w:h="15840" w:orient="portrait"/>
          <w:pgMar w:top="1080" w:right="1080" w:bottom="1080" w:left="1080" w:header="708" w:footer="708" w:gutter="0"/>
          <w:pgNumType/>
          <w:docGrid w:linePitch="360"/>
        </w:sectPr>
      </w:pPr>
    </w:p>
    <w:p>
      <w:pPr>
        <w:pBdr>
          <w:bottom w:val="single" w:color="BB0000" w:sz="4" w:space="4"/>
        </w:pBdr>
        <w:spacing w:after="80" w:before="320"/>
      </w:pPr>
      <w:r>
        <w:rPr>
          <w:rFonts w:ascii="Arial" w:cs="Arial" w:eastAsia="Arial" w:hAnsi="Arial"/>
          <w:b/>
          <w:bCs/>
          <w:color w:val="BB0000"/>
          <w:spacing w:val="120"/>
          <w:sz w:val="18"/>
          <w:szCs w:val="18"/>
        </w:rPr>
        <w:t xml:space="preserve">WHO WE ARE</w:t>
      </w:r>
    </w:p>
    <w:p>
      <w:pPr>
        <w:spacing w:after="160" w:before="80"/>
      </w:pPr>
      <w:r>
        <w:rPr>
          <w:rFonts w:ascii="Arial" w:cs="Arial" w:eastAsia="Arial" w:hAnsi="Arial"/>
          <w:b/>
          <w:bCs/>
          <w:color w:val="1A1917"/>
          <w:sz w:val="44"/>
          <w:szCs w:val="44"/>
        </w:rPr>
        <w:t xml:space="preserve">Ohio State’s EcoCAR Team</w:t>
      </w:r>
    </w:p>
    <w:p>
      <w:pPr>
        <w:spacing w:after="120" w:before="0"/>
      </w:pPr>
      <w:r>
        <w:rPr>
          <w:rFonts w:ascii="Arial" w:cs="Arial" w:eastAsia="Arial" w:hAnsi="Arial"/>
          <w:color w:val="44413C"/>
          <w:sz w:val="20"/>
          <w:szCs w:val="20"/>
        </w:rPr>
        <w:t xml:space="preserve">OSU EcoCAR is a multidisciplinary student engineering team competing in the EcoCAR Innovation Challenge — a four-year collegiate competition sponsored by the U.S. Department of Energy and General Motors. Our team of 60+ students engineers a production vehicle toward next-generation efficiency and electrification targets.</w:t>
      </w:r>
    </w:p>
    <w:p>
      <w:pPr>
        <w:spacing w:after="16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3E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BB0000"/>
                <w:sz w:val="44"/>
                <w:szCs w:val="44"/>
              </w:rPr>
              <w:t xml:space="preserve">60+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44413C"/>
                <w:sz w:val="18"/>
                <w:szCs w:val="18"/>
              </w:rPr>
              <w:t xml:space="preserve">Students</w:t>
            </w:r>
          </w:p>
        </w:tc>
        <w:tc>
          <w:tcPr>
            <w:tcW w:type="dxa" w:w="25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3E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BB0000"/>
                <w:sz w:val="44"/>
                <w:szCs w:val="44"/>
              </w:rPr>
              <w:t xml:space="preserve">8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44413C"/>
                <w:sz w:val="18"/>
                <w:szCs w:val="18"/>
              </w:rPr>
              <w:t xml:space="preserve">Subteams</w:t>
            </w:r>
          </w:p>
        </w:tc>
        <w:tc>
          <w:tcPr>
            <w:tcW w:type="dxa" w:w="25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3E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BB0000"/>
                <w:sz w:val="44"/>
                <w:szCs w:val="44"/>
              </w:rPr>
              <w:t xml:space="preserve">4-Year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44413C"/>
                <w:sz w:val="18"/>
                <w:szCs w:val="18"/>
              </w:rPr>
              <w:t xml:space="preserve">Competition</w:t>
            </w:r>
          </w:p>
        </w:tc>
        <w:tc>
          <w:tcPr>
            <w:tcW w:type="dxa" w:w="25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3E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BB0000"/>
                <w:sz w:val="44"/>
                <w:szCs w:val="44"/>
              </w:rPr>
              <w:t xml:space="preserve">National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44413C"/>
                <w:sz w:val="18"/>
                <w:szCs w:val="18"/>
              </w:rPr>
              <w:t xml:space="preserve">Stage</w:t>
            </w:r>
          </w:p>
        </w:tc>
      </w:tr>
    </w:tbl>
    <w:p>
      <w:pPr>
        <w:spacing w:after="320" w:before="0"/>
      </w:pPr>
    </w:p>
    <w:p>
      <w:pPr>
        <w:pBdr>
          <w:bottom w:val="single" w:color="BB0000" w:sz="4" w:space="4"/>
        </w:pBdr>
        <w:spacing w:after="80" w:before="320"/>
      </w:pPr>
      <w:r>
        <w:rPr>
          <w:rFonts w:ascii="Arial" w:cs="Arial" w:eastAsia="Arial" w:hAnsi="Arial"/>
          <w:b/>
          <w:bCs/>
          <w:color w:val="BB0000"/>
          <w:spacing w:val="120"/>
          <w:sz w:val="18"/>
          <w:szCs w:val="18"/>
        </w:rPr>
        <w:t xml:space="preserve">WHAT PARTNERSHIP MEANS</w:t>
      </w:r>
    </w:p>
    <w:p>
      <w:pPr>
        <w:spacing w:after="80" w:before="240"/>
      </w:pPr>
      <w:r>
        <w:rPr>
          <w:rFonts w:ascii="Arial" w:cs="Arial" w:eastAsia="Arial" w:hAnsi="Arial"/>
          <w:b/>
          <w:bCs/>
          <w:color w:val="1A1917"/>
          <w:sz w:val="24"/>
          <w:szCs w:val="24"/>
        </w:rPr>
        <w:t xml:space="preserve">Talent Pipeline</w:t>
      </w:r>
    </w:p>
    <w:p>
      <w:pPr>
        <w:spacing w:after="120" w:before="0"/>
      </w:pPr>
      <w:r>
        <w:rPr>
          <w:rFonts w:ascii="Arial" w:cs="Arial" w:eastAsia="Arial" w:hAnsi="Arial"/>
          <w:color w:val="44413C"/>
          <w:sz w:val="20"/>
          <w:szCs w:val="20"/>
        </w:rPr>
        <w:t xml:space="preserve">Direct access to 60+ engineers across software, electrical, mechanical, systems, and controls disciplines. Every member is actively pursuing internships and full-time roles in automotive and adjacent industries.</w:t>
      </w:r>
    </w:p>
    <w:p>
      <w:pPr>
        <w:spacing w:after="80" w:before="240"/>
      </w:pPr>
      <w:r>
        <w:rPr>
          <w:rFonts w:ascii="Arial" w:cs="Arial" w:eastAsia="Arial" w:hAnsi="Arial"/>
          <w:b/>
          <w:bCs/>
          <w:color w:val="1A1917"/>
          <w:sz w:val="24"/>
          <w:szCs w:val="24"/>
        </w:rPr>
        <w:t xml:space="preserve">Brand Exposure</w:t>
      </w:r>
    </w:p>
    <w:p>
      <w:pPr>
        <w:spacing w:after="120" w:before="0"/>
      </w:pPr>
      <w:r>
        <w:rPr>
          <w:rFonts w:ascii="Arial" w:cs="Arial" w:eastAsia="Arial" w:hAnsi="Arial"/>
          <w:color w:val="44413C"/>
          <w:sz w:val="20"/>
          <w:szCs w:val="20"/>
        </w:rPr>
        <w:t xml:space="preserve">Your logo on a nationally competing vehicle and on team materials at EcoCAR Innovation Challenge events. Real visibility, earned on track, seen by industry leaders and DOE officials.</w:t>
      </w:r>
    </w:p>
    <w:p>
      <w:pPr>
        <w:spacing w:after="80" w:before="240"/>
      </w:pPr>
      <w:r>
        <w:rPr>
          <w:rFonts w:ascii="Arial" w:cs="Arial" w:eastAsia="Arial" w:hAnsi="Arial"/>
          <w:b/>
          <w:bCs/>
          <w:color w:val="1A1917"/>
          <w:sz w:val="24"/>
          <w:szCs w:val="24"/>
        </w:rPr>
        <w:t xml:space="preserve">Real-World Product Evaluation</w:t>
      </w:r>
    </w:p>
    <w:p>
      <w:pPr>
        <w:spacing w:after="120" w:before="0"/>
      </w:pPr>
      <w:r>
        <w:rPr>
          <w:rFonts w:ascii="Arial" w:cs="Arial" w:eastAsia="Arial" w:hAnsi="Arial"/>
          <w:color w:val="44413C"/>
          <w:sz w:val="20"/>
          <w:szCs w:val="20"/>
        </w:rPr>
        <w:t xml:space="preserve">At the Presenting tier, products and technologies you provide are put to work on an active engineering project. Non-confidential performance findings are reported back — genuine data, not a brochure.</w:t>
      </w:r>
    </w:p>
    <w:p>
      <w:r>
        <w:br w:type="page"/>
      </w:r>
    </w:p>
    <w:p>
      <w:pPr>
        <w:pBdr>
          <w:bottom w:val="single" w:color="BB0000" w:sz="4" w:space="4"/>
        </w:pBdr>
        <w:spacing w:after="80" w:before="320"/>
      </w:pPr>
      <w:r>
        <w:rPr>
          <w:rFonts w:ascii="Arial" w:cs="Arial" w:eastAsia="Arial" w:hAnsi="Arial"/>
          <w:b/>
          <w:bCs/>
          <w:color w:val="BB0000"/>
          <w:spacing w:val="120"/>
          <w:sz w:val="18"/>
          <w:szCs w:val="18"/>
        </w:rPr>
        <w:t xml:space="preserve">PARTNERSHIP TIERS</w:t>
      </w:r>
    </w:p>
    <w:p>
      <w:pPr>
        <w:spacing w:after="160" w:before="80"/>
      </w:pPr>
      <w:r>
        <w:rPr>
          <w:rFonts w:ascii="Arial" w:cs="Arial" w:eastAsia="Arial" w:hAnsi="Arial"/>
          <w:b/>
          <w:bCs/>
          <w:color w:val="1A1917"/>
          <w:sz w:val="44"/>
          <w:szCs w:val="44"/>
        </w:rPr>
        <w:t xml:space="preserve">Find Your Level</w:t>
      </w:r>
    </w:p>
    <w:p>
      <w:pPr>
        <w:spacing w:after="120" w:before="0"/>
      </w:pPr>
      <w:r>
        <w:rPr>
          <w:rFonts w:ascii="Arial" w:cs="Arial" w:eastAsia="Arial" w:hAnsi="Arial"/>
          <w:color w:val="44413C"/>
          <w:sz w:val="20"/>
          <w:szCs w:val="20"/>
        </w:rPr>
        <w:t xml:space="preserve">All contributions — cash or in-kind — are valued at fair market rate and count toward any tier. In-kind partners at the Presenting level are eligible for the product evaluation program.</w:t>
      </w:r>
    </w:p>
    <w:p>
      <w:pPr>
        <w:spacing w:after="16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8080"/>
      </w:tblGrid>
      <w:tr>
        <w:tc>
          <w:tcPr>
            <w:tcW w:type="dxa" w:w="2000"/>
            <w:tcBorders>
              <w:top w:val="single" w:color="E0DEDA" w:sz="1"/>
              <w:left w:val="none" w:color="FFFFFF" w:sz="0"/>
              <w:bottom w:val="single" w:color="E0DEDA" w:sz="1"/>
              <w:right w:val="none" w:color="FFFFFF" w:sz="0"/>
            </w:tcBorders>
            <w:shd w:fill="F5F3EF" w:val="clear"/>
            <w:tcMar>
              <w:top w:type="dxa" w:w="100"/>
              <w:left w:type="dxa" w:w="0"/>
              <w:bottom w:type="dxa" w:w="100"/>
              <w:right w:type="dxa" w:w="120"/>
            </w:tcMar>
            <w:vAlign w:val="top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1A1917"/>
                <w:sz w:val="24"/>
                <w:szCs w:val="24"/>
              </w:rPr>
              <w:t xml:space="preserve">Presenting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44413C"/>
                <w:sz w:val="17"/>
                <w:szCs w:val="17"/>
              </w:rPr>
              <w:t xml:space="preserve">$10,000+</w:t>
            </w:r>
          </w:p>
        </w:tc>
        <w:tc>
          <w:tcPr>
            <w:tcW w:type="dxa" w:w="8080"/>
            <w:tcBorders>
              <w:top w:val="single" w:color="E0DEDA" w:sz="1"/>
              <w:left w:val="none" w:color="FFFFFF" w:sz="0"/>
              <w:bottom w:val="single" w:color="E0DEDA" w:sz="1"/>
              <w:right w:val="none" w:color="FFFFFF" w:sz="0"/>
            </w:tcBorders>
            <w:shd w:fill="F5F3EF" w:val="clear"/>
            <w:tcMar>
              <w:top w:type="dxa" w:w="100"/>
              <w:left w:type="dxa" w:w="120"/>
              <w:bottom w:type="dxa" w:w="100"/>
              <w:right w:type="dxa" w:w="0"/>
            </w:tcMar>
            <w:vAlign w:val="top"/>
          </w:tcPr>
          <w:p>
            <w:pPr>
              <w:pStyle w:val="ListParagraph"/>
              <w:numPr>
                <w:ilvl w:val="0"/>
                <w:numId w:val="2"/>
              </w:numPr>
              <w:spacing w:after="60" w:before="0"/>
            </w:pPr>
            <w:r>
              <w:rPr>
                <w:rFonts w:ascii="Arial" w:cs="Arial" w:eastAsia="Arial" w:hAnsi="Arial"/>
                <w:color w:val="44413C"/>
                <w:sz w:val="18"/>
                <w:szCs w:val="18"/>
              </w:rPr>
              <w:t xml:space="preserve">Named co-branding on the competition vehicle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before="0"/>
            </w:pPr>
            <w:r>
              <w:rPr>
                <w:rFonts w:ascii="Arial" w:cs="Arial" w:eastAsia="Arial" w:hAnsi="Arial"/>
                <w:color w:val="44413C"/>
                <w:sz w:val="18"/>
                <w:szCs w:val="18"/>
              </w:rPr>
              <w:t xml:space="preserve">Logo on vehicle (primary), apparel, website, and all non-confidential materials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before="0"/>
            </w:pPr>
            <w:r>
              <w:rPr>
                <w:rFonts w:ascii="Arial" w:cs="Arial" w:eastAsia="Arial" w:hAnsi="Arial"/>
                <w:color w:val="44413C"/>
                <w:sz w:val="18"/>
                <w:szCs w:val="18"/>
              </w:rPr>
              <w:t xml:space="preserve">Dedicated recruiting contact + resume book access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before="0"/>
            </w:pPr>
            <w:r>
              <w:rPr>
                <w:rFonts w:ascii="Arial" w:cs="Arial" w:eastAsia="Arial" w:hAnsi="Arial"/>
                <w:color w:val="44413C"/>
                <w:sz w:val="18"/>
                <w:szCs w:val="18"/>
              </w:rPr>
              <w:t xml:space="preserve">Priority access to the graduating talent pipeline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before="0"/>
            </w:pPr>
            <w:r>
              <w:rPr>
                <w:rFonts w:ascii="Arial" w:cs="Arial" w:eastAsia="Arial" w:hAnsi="Arial"/>
                <w:color w:val="44413C"/>
                <w:sz w:val="18"/>
                <w:szCs w:val="18"/>
              </w:rPr>
              <w:t xml:space="preserve">Long-term product / technology evaluation program (non-confidential findings only)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before="0"/>
            </w:pPr>
            <w:r>
              <w:rPr>
                <w:rFonts w:ascii="Arial" w:cs="Arial" w:eastAsia="Arial" w:hAnsi="Arial"/>
                <w:color w:val="44413C"/>
                <w:sz w:val="18"/>
                <w:szCs w:val="18"/>
              </w:rPr>
              <w:t xml:space="preserve">Custom partnership scope negotiated to fit what’s permissible</w:t>
            </w:r>
          </w:p>
        </w:tc>
      </w:tr>
      <w:tr>
        <w:tc>
          <w:tcPr>
            <w:tcW w:type="dxa" w:w="2000"/>
            <w:tcBorders>
              <w:top w:val="single" w:color="E0DEDA" w:sz="1"/>
              <w:left w:val="none" w:color="FFFFFF" w:sz="0"/>
              <w:bottom w:val="single" w:color="E0DEDA" w:sz="1"/>
              <w:right w:val="none" w:color="FFFFFF" w:sz="0"/>
            </w:tcBorders>
            <w:shd w:fill="FFFFFF" w:val="clear"/>
            <w:tcMar>
              <w:top w:type="dxa" w:w="100"/>
              <w:left w:type="dxa" w:w="0"/>
              <w:bottom w:type="dxa" w:w="100"/>
              <w:right w:type="dxa" w:w="120"/>
            </w:tcMar>
            <w:vAlign w:val="top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B45309"/>
                <w:sz w:val="24"/>
                <w:szCs w:val="24"/>
              </w:rPr>
              <w:t xml:space="preserve">Gold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44413C"/>
                <w:sz w:val="17"/>
                <w:szCs w:val="17"/>
              </w:rPr>
              <w:t xml:space="preserve">$5,000–$9,999</w:t>
            </w:r>
          </w:p>
        </w:tc>
        <w:tc>
          <w:tcPr>
            <w:tcW w:type="dxa" w:w="8080"/>
            <w:tcBorders>
              <w:top w:val="single" w:color="E0DEDA" w:sz="1"/>
              <w:left w:val="none" w:color="FFFFFF" w:sz="0"/>
              <w:bottom w:val="single" w:color="E0DEDA" w:sz="1"/>
              <w:right w:val="none" w:color="FFFFFF" w:sz="0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0"/>
            </w:tcMar>
            <w:vAlign w:val="top"/>
          </w:tcPr>
          <w:p>
            <w:pPr>
              <w:pStyle w:val="ListParagraph"/>
              <w:numPr>
                <w:ilvl w:val="0"/>
                <w:numId w:val="2"/>
              </w:numPr>
              <w:spacing w:after="60" w:before="0"/>
            </w:pPr>
            <w:r>
              <w:rPr>
                <w:rFonts w:ascii="Arial" w:cs="Arial" w:eastAsia="Arial" w:hAnsi="Arial"/>
                <w:color w:val="44413C"/>
                <w:sz w:val="18"/>
                <w:szCs w:val="18"/>
              </w:rPr>
              <w:t xml:space="preserve">Logo on vehicle (prominent placement)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before="0"/>
            </w:pPr>
            <w:r>
              <w:rPr>
                <w:rFonts w:ascii="Arial" w:cs="Arial" w:eastAsia="Arial" w:hAnsi="Arial"/>
                <w:color w:val="44413C"/>
                <w:sz w:val="18"/>
                <w:szCs w:val="18"/>
              </w:rPr>
              <w:t xml:space="preserve">Logo on apparel, website, and non-confidential presentations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before="0"/>
            </w:pPr>
            <w:r>
              <w:rPr>
                <w:rFonts w:ascii="Arial" w:cs="Arial" w:eastAsia="Arial" w:hAnsi="Arial"/>
                <w:color w:val="44413C"/>
                <w:sz w:val="18"/>
                <w:szCs w:val="18"/>
              </w:rPr>
              <w:t xml:space="preserve">Priority job / internship posting to the full team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before="0"/>
            </w:pPr>
            <w:r>
              <w:rPr>
                <w:rFonts w:ascii="Arial" w:cs="Arial" w:eastAsia="Arial" w:hAnsi="Arial"/>
                <w:color w:val="44413C"/>
                <w:sz w:val="18"/>
                <w:szCs w:val="18"/>
              </w:rPr>
              <w:t xml:space="preserve">Early access to the graduating talent pipeline</w:t>
            </w:r>
          </w:p>
        </w:tc>
      </w:tr>
      <w:tr>
        <w:tc>
          <w:tcPr>
            <w:tcW w:type="dxa" w:w="2000"/>
            <w:tcBorders>
              <w:top w:val="single" w:color="E0DEDA" w:sz="1"/>
              <w:left w:val="none" w:color="FFFFFF" w:sz="0"/>
              <w:bottom w:val="single" w:color="E0DEDA" w:sz="1"/>
              <w:right w:val="none" w:color="FFFFFF" w:sz="0"/>
            </w:tcBorders>
            <w:shd w:fill="F5F3EF" w:val="clear"/>
            <w:tcMar>
              <w:top w:type="dxa" w:w="100"/>
              <w:left w:type="dxa" w:w="0"/>
              <w:bottom w:type="dxa" w:w="100"/>
              <w:right w:type="dxa" w:w="120"/>
            </w:tcMar>
            <w:vAlign w:val="top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6B7280"/>
                <w:sz w:val="24"/>
                <w:szCs w:val="24"/>
              </w:rPr>
              <w:t xml:space="preserve">Silver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44413C"/>
                <w:sz w:val="17"/>
                <w:szCs w:val="17"/>
              </w:rPr>
              <w:t xml:space="preserve">$2,500–$4,999</w:t>
            </w:r>
          </w:p>
        </w:tc>
        <w:tc>
          <w:tcPr>
            <w:tcW w:type="dxa" w:w="8080"/>
            <w:tcBorders>
              <w:top w:val="single" w:color="E0DEDA" w:sz="1"/>
              <w:left w:val="none" w:color="FFFFFF" w:sz="0"/>
              <w:bottom w:val="single" w:color="E0DEDA" w:sz="1"/>
              <w:right w:val="none" w:color="FFFFFF" w:sz="0"/>
            </w:tcBorders>
            <w:shd w:fill="F5F3EF" w:val="clear"/>
            <w:tcMar>
              <w:top w:type="dxa" w:w="100"/>
              <w:left w:type="dxa" w:w="120"/>
              <w:bottom w:type="dxa" w:w="100"/>
              <w:right w:type="dxa" w:w="0"/>
            </w:tcMar>
            <w:vAlign w:val="top"/>
          </w:tcPr>
          <w:p>
            <w:pPr>
              <w:pStyle w:val="ListParagraph"/>
              <w:numPr>
                <w:ilvl w:val="0"/>
                <w:numId w:val="2"/>
              </w:numPr>
              <w:spacing w:after="60" w:before="0"/>
            </w:pPr>
            <w:r>
              <w:rPr>
                <w:rFonts w:ascii="Arial" w:cs="Arial" w:eastAsia="Arial" w:hAnsi="Arial"/>
                <w:color w:val="44413C"/>
                <w:sz w:val="18"/>
                <w:szCs w:val="18"/>
              </w:rPr>
              <w:t xml:space="preserve">Logo on vehicle (standard placement)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before="0"/>
            </w:pPr>
            <w:r>
              <w:rPr>
                <w:rFonts w:ascii="Arial" w:cs="Arial" w:eastAsia="Arial" w:hAnsi="Arial"/>
                <w:color w:val="44413C"/>
                <w:sz w:val="18"/>
                <w:szCs w:val="18"/>
              </w:rPr>
              <w:t xml:space="preserve">Logo on team website and apparel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before="0"/>
            </w:pPr>
            <w:r>
              <w:rPr>
                <w:rFonts w:ascii="Arial" w:cs="Arial" w:eastAsia="Arial" w:hAnsi="Arial"/>
                <w:color w:val="44413C"/>
                <w:sz w:val="18"/>
                <w:szCs w:val="18"/>
              </w:rPr>
              <w:t xml:space="preserve">Resume book — team resumes shared with your recruiting contact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before="0"/>
            </w:pPr>
            <w:r>
              <w:rPr>
                <w:rFonts w:ascii="Arial" w:cs="Arial" w:eastAsia="Arial" w:hAnsi="Arial"/>
                <w:color w:val="44413C"/>
                <w:sz w:val="18"/>
                <w:szCs w:val="18"/>
              </w:rPr>
              <w:t xml:space="preserve">Recruitment table at one team event per year</w:t>
            </w:r>
          </w:p>
        </w:tc>
      </w:tr>
      <w:tr>
        <w:tc>
          <w:tcPr>
            <w:tcW w:type="dxa" w:w="2000"/>
            <w:tcBorders>
              <w:top w:val="single" w:color="E0DEDA" w:sz="1"/>
              <w:left w:val="none" w:color="FFFFFF" w:sz="0"/>
              <w:bottom w:val="single" w:color="E0DEDA" w:sz="1"/>
              <w:right w:val="none" w:color="FFFFFF" w:sz="0"/>
            </w:tcBorders>
            <w:shd w:fill="FFFFFF" w:val="clear"/>
            <w:tcMar>
              <w:top w:type="dxa" w:w="100"/>
              <w:left w:type="dxa" w:w="0"/>
              <w:bottom w:type="dxa" w:w="100"/>
              <w:right w:type="dxa" w:w="120"/>
            </w:tcMar>
            <w:vAlign w:val="top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92400E"/>
                <w:sz w:val="24"/>
                <w:szCs w:val="24"/>
              </w:rPr>
              <w:t xml:space="preserve">Bronze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44413C"/>
                <w:sz w:val="17"/>
                <w:szCs w:val="17"/>
              </w:rPr>
              <w:t xml:space="preserve">$1,000–$2,499</w:t>
            </w:r>
          </w:p>
        </w:tc>
        <w:tc>
          <w:tcPr>
            <w:tcW w:type="dxa" w:w="8080"/>
            <w:tcBorders>
              <w:top w:val="single" w:color="E0DEDA" w:sz="1"/>
              <w:left w:val="none" w:color="FFFFFF" w:sz="0"/>
              <w:bottom w:val="single" w:color="E0DEDA" w:sz="1"/>
              <w:right w:val="none" w:color="FFFFFF" w:sz="0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0"/>
            </w:tcMar>
            <w:vAlign w:val="top"/>
          </w:tcPr>
          <w:p>
            <w:pPr>
              <w:pStyle w:val="ListParagraph"/>
              <w:numPr>
                <w:ilvl w:val="0"/>
                <w:numId w:val="2"/>
              </w:numPr>
              <w:spacing w:after="60" w:before="0"/>
            </w:pPr>
            <w:r>
              <w:rPr>
                <w:rFonts w:ascii="Arial" w:cs="Arial" w:eastAsia="Arial" w:hAnsi="Arial"/>
                <w:color w:val="44413C"/>
                <w:sz w:val="18"/>
                <w:szCs w:val="18"/>
              </w:rPr>
              <w:t xml:space="preserve">Logo on team apparel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before="0"/>
            </w:pPr>
            <w:r>
              <w:rPr>
                <w:rFonts w:ascii="Arial" w:cs="Arial" w:eastAsia="Arial" w:hAnsi="Arial"/>
                <w:color w:val="44413C"/>
                <w:sz w:val="18"/>
                <w:szCs w:val="18"/>
              </w:rPr>
              <w:t xml:space="preserve">Logo on team website and non-confidential presentation decks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before="0"/>
            </w:pPr>
            <w:r>
              <w:rPr>
                <w:rFonts w:ascii="Arial" w:cs="Arial" w:eastAsia="Arial" w:hAnsi="Arial"/>
                <w:color w:val="44413C"/>
                <w:sz w:val="18"/>
                <w:szCs w:val="18"/>
              </w:rPr>
              <w:t xml:space="preserve">End-of-year summary update</w:t>
            </w:r>
          </w:p>
        </w:tc>
      </w:tr>
      <w:tr>
        <w:tc>
          <w:tcPr>
            <w:tcW w:type="dxa" w:w="2000"/>
            <w:tcBorders>
              <w:top w:val="single" w:color="E0DEDA" w:sz="1"/>
              <w:left w:val="none" w:color="FFFFFF" w:sz="0"/>
              <w:bottom w:val="single" w:color="E0DEDA" w:sz="1"/>
              <w:right w:val="none" w:color="FFFFFF" w:sz="0"/>
            </w:tcBorders>
            <w:shd w:fill="F5F3EF" w:val="clear"/>
            <w:tcMar>
              <w:top w:type="dxa" w:w="100"/>
              <w:left w:type="dxa" w:w="0"/>
              <w:bottom w:type="dxa" w:w="100"/>
              <w:right w:type="dxa" w:w="120"/>
            </w:tcMar>
            <w:vAlign w:val="top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BB0000"/>
                <w:sz w:val="24"/>
                <w:szCs w:val="24"/>
              </w:rPr>
              <w:t xml:space="preserve">Supporter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44413C"/>
                <w:sz w:val="17"/>
                <w:szCs w:val="17"/>
              </w:rPr>
              <w:t xml:space="preserve">$250–$999</w:t>
            </w:r>
          </w:p>
        </w:tc>
        <w:tc>
          <w:tcPr>
            <w:tcW w:type="dxa" w:w="8080"/>
            <w:tcBorders>
              <w:top w:val="single" w:color="E0DEDA" w:sz="1"/>
              <w:left w:val="none" w:color="FFFFFF" w:sz="0"/>
              <w:bottom w:val="single" w:color="E0DEDA" w:sz="1"/>
              <w:right w:val="none" w:color="FFFFFF" w:sz="0"/>
            </w:tcBorders>
            <w:shd w:fill="F5F3EF" w:val="clear"/>
            <w:tcMar>
              <w:top w:type="dxa" w:w="100"/>
              <w:left w:type="dxa" w:w="120"/>
              <w:bottom w:type="dxa" w:w="100"/>
              <w:right w:type="dxa" w:w="0"/>
            </w:tcMar>
            <w:vAlign w:val="top"/>
          </w:tcPr>
          <w:p>
            <w:pPr>
              <w:pStyle w:val="ListParagraph"/>
              <w:numPr>
                <w:ilvl w:val="0"/>
                <w:numId w:val="2"/>
              </w:numPr>
              <w:spacing w:after="60" w:before="0"/>
            </w:pPr>
            <w:r>
              <w:rPr>
                <w:rFonts w:ascii="Arial" w:cs="Arial" w:eastAsia="Arial" w:hAnsi="Arial"/>
                <w:color w:val="44413C"/>
                <w:sz w:val="18"/>
                <w:szCs w:val="18"/>
              </w:rPr>
              <w:t xml:space="preserve">Logo on team website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before="0"/>
            </w:pPr>
            <w:r>
              <w:rPr>
                <w:rFonts w:ascii="Arial" w:cs="Arial" w:eastAsia="Arial" w:hAnsi="Arial"/>
                <w:color w:val="44413C"/>
                <w:sz w:val="18"/>
                <w:szCs w:val="18"/>
              </w:rPr>
              <w:t xml:space="preserve">Social media acknowledgment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before="0"/>
            </w:pPr>
            <w:r>
              <w:rPr>
                <w:rFonts w:ascii="Arial" w:cs="Arial" w:eastAsia="Arial" w:hAnsi="Arial"/>
                <w:color w:val="44413C"/>
                <w:sz w:val="18"/>
                <w:szCs w:val="18"/>
              </w:rPr>
              <w:t xml:space="preserve">Listed in team presentation credits</w:t>
            </w:r>
          </w:p>
        </w:tc>
      </w:tr>
      <w:tr>
        <w:tc>
          <w:tcPr>
            <w:tcW w:type="dxa" w:w="2000"/>
            <w:tcBorders>
              <w:top w:val="single" w:color="E0DEDA" w:sz="1"/>
              <w:left w:val="none" w:color="FFFFFF" w:sz="0"/>
              <w:bottom w:val="single" w:color="E0DEDA" w:sz="1"/>
              <w:right w:val="none" w:color="FFFFFF" w:sz="0"/>
            </w:tcBorders>
            <w:shd w:fill="FFFFFF" w:val="clear"/>
            <w:tcMar>
              <w:top w:type="dxa" w:w="100"/>
              <w:left w:type="dxa" w:w="0"/>
              <w:bottom w:type="dxa" w:w="100"/>
              <w:right w:type="dxa" w:w="120"/>
            </w:tcMar>
            <w:vAlign w:val="top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4B5563"/>
                <w:sz w:val="24"/>
                <w:szCs w:val="24"/>
              </w:rPr>
              <w:t xml:space="preserve">In-Kind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44413C"/>
                <w:sz w:val="17"/>
                <w:szCs w:val="17"/>
              </w:rPr>
              <w:t xml:space="preserve">Fair market value</w:t>
            </w:r>
          </w:p>
        </w:tc>
        <w:tc>
          <w:tcPr>
            <w:tcW w:type="dxa" w:w="8080"/>
            <w:tcBorders>
              <w:top w:val="single" w:color="E0DEDA" w:sz="1"/>
              <w:left w:val="none" w:color="FFFFFF" w:sz="0"/>
              <w:bottom w:val="single" w:color="E0DEDA" w:sz="1"/>
              <w:right w:val="none" w:color="FFFFFF" w:sz="0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0"/>
            </w:tcMar>
            <w:vAlign w:val="top"/>
          </w:tcPr>
          <w:p>
            <w:pPr>
              <w:pStyle w:val="ListParagraph"/>
              <w:numPr>
                <w:ilvl w:val="0"/>
                <w:numId w:val="2"/>
              </w:numPr>
              <w:spacing w:after="60" w:before="0"/>
            </w:pPr>
            <w:r>
              <w:rPr>
                <w:rFonts w:ascii="Arial" w:cs="Arial" w:eastAsia="Arial" w:hAnsi="Arial"/>
                <w:color w:val="44413C"/>
                <w:sz w:val="18"/>
                <w:szCs w:val="18"/>
              </w:rPr>
              <w:t xml:space="preserve">All contributions valued at fair market rate toward any tier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before="0"/>
            </w:pPr>
            <w:r>
              <w:rPr>
                <w:rFonts w:ascii="Arial" w:cs="Arial" w:eastAsia="Arial" w:hAnsi="Arial"/>
                <w:color w:val="44413C"/>
                <w:sz w:val="18"/>
                <w:szCs w:val="18"/>
              </w:rPr>
              <w:t xml:space="preserve">Hardware / component sponsors at Presenting tier eligible for product evaluation</w:t>
            </w:r>
          </w:p>
        </w:tc>
      </w:tr>
    </w:tbl>
    <w:p>
      <w:r>
        <w:br w:type="page"/>
      </w:r>
    </w:p>
    <w:p>
      <w:pPr>
        <w:pBdr>
          <w:bottom w:val="single" w:color="BB0000" w:sz="4" w:space="4"/>
        </w:pBdr>
        <w:spacing w:after="80" w:before="320"/>
      </w:pPr>
      <w:r>
        <w:rPr>
          <w:rFonts w:ascii="Arial" w:cs="Arial" w:eastAsia="Arial" w:hAnsi="Arial"/>
          <w:b/>
          <w:bCs/>
          <w:color w:val="BB0000"/>
          <w:spacing w:val="120"/>
          <w:sz w:val="18"/>
          <w:szCs w:val="18"/>
        </w:rPr>
        <w:t xml:space="preserve">GET STARTED</w:t>
      </w:r>
    </w:p>
    <w:p>
      <w:pPr>
        <w:spacing w:after="160" w:before="80"/>
      </w:pPr>
      <w:r>
        <w:rPr>
          <w:rFonts w:ascii="Arial" w:cs="Arial" w:eastAsia="Arial" w:hAnsi="Arial"/>
          <w:b/>
          <w:bCs/>
          <w:color w:val="1A1917"/>
          <w:sz w:val="44"/>
          <w:szCs w:val="44"/>
        </w:rPr>
        <w:t xml:space="preserve">Ready to Partner?</w:t>
      </w:r>
    </w:p>
    <w:p>
      <w:pPr>
        <w:spacing w:after="120" w:before="0"/>
      </w:pPr>
      <w:r>
        <w:rPr>
          <w:rFonts w:ascii="Arial" w:cs="Arial" w:eastAsia="Arial" w:hAnsi="Arial"/>
          <w:color w:val="44413C"/>
          <w:sz w:val="20"/>
          <w:szCs w:val="20"/>
        </w:rPr>
        <w:t xml:space="preserve">We’d love to learn more about your organization and find the right fit. Reach out directly or use the inquiry form at osuecocar.org/partners.</w:t>
      </w:r>
    </w:p>
    <w:p>
      <w:pPr>
        <w:spacing w:after="160" w:before="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8280"/>
      </w:tblGrid>
      <w:tr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E0DEDA" w:sz="1"/>
              <w:right w:val="none" w:color="FFFFFF" w:sz="0"/>
            </w:tcBorders>
            <w:shd w:fill="F5F3E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917"/>
                <w:sz w:val="20"/>
                <w:szCs w:val="20"/>
              </w:rPr>
              <w:t xml:space="preserve">Email</w:t>
            </w:r>
          </w:p>
        </w:tc>
        <w:tc>
          <w:tcPr>
            <w:tcW w:type="dxa" w:w="8280"/>
            <w:tcBorders>
              <w:top w:val="none" w:color="FFFFFF" w:sz="0"/>
              <w:left w:val="none" w:color="FFFFFF" w:sz="0"/>
              <w:bottom w:val="single" w:color="E0DEDA" w:sz="1"/>
              <w:right w:val="none" w:color="FFFFFF" w:sz="0"/>
            </w:tcBorders>
            <w:shd w:fill="F5F3E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color w:val="44413C"/>
                <w:sz w:val="20"/>
                <w:szCs w:val="20"/>
              </w:rPr>
              <w:t xml:space="preserve">osuecocar@outlook.com</w:t>
            </w:r>
          </w:p>
        </w:tc>
      </w:tr>
      <w:tr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E0DEDA" w:sz="1"/>
              <w:right w:val="none" w:color="FFFFFF" w:sz="0"/>
            </w:tcBorders>
            <w:shd w:fill="F5F3E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917"/>
                <w:sz w:val="20"/>
                <w:szCs w:val="20"/>
              </w:rPr>
              <w:t xml:space="preserve">Website</w:t>
            </w:r>
          </w:p>
        </w:tc>
        <w:tc>
          <w:tcPr>
            <w:tcW w:type="dxa" w:w="8280"/>
            <w:tcBorders>
              <w:top w:val="none" w:color="FFFFFF" w:sz="0"/>
              <w:left w:val="none" w:color="FFFFFF" w:sz="0"/>
              <w:bottom w:val="single" w:color="E0DEDA" w:sz="1"/>
              <w:right w:val="none" w:color="FFFFFF" w:sz="0"/>
            </w:tcBorders>
            <w:shd w:fill="F5F3E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color w:val="44413C"/>
                <w:sz w:val="20"/>
                <w:szCs w:val="20"/>
              </w:rPr>
              <w:t xml:space="preserve">osuecocar.org/partners</w:t>
            </w:r>
          </w:p>
        </w:tc>
      </w:tr>
      <w:tr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3E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917"/>
                <w:sz w:val="20"/>
                <w:szCs w:val="20"/>
              </w:rPr>
              <w:t xml:space="preserve">Location</w:t>
            </w:r>
          </w:p>
        </w:tc>
        <w:tc>
          <w:tcPr>
            <w:tcW w:type="dxa" w:w="82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3E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color w:val="44413C"/>
                <w:sz w:val="20"/>
                <w:szCs w:val="20"/>
              </w:rPr>
              <w:t xml:space="preserve">The Ohio State University, Columbus, OH</w:t>
            </w:r>
          </w:p>
        </w:tc>
      </w:tr>
    </w:tbl>
    <w:p>
      <w:pPr>
        <w:spacing w:after="360" w:before="0"/>
      </w:pPr>
    </w:p>
    <w:p>
      <w:pPr>
        <w:pBdr>
          <w:bottom w:val="single" w:color="BB0000" w:sz="4" w:space="4"/>
        </w:pBdr>
        <w:spacing w:after="80" w:before="320"/>
      </w:pPr>
      <w:r>
        <w:rPr>
          <w:rFonts w:ascii="Arial" w:cs="Arial" w:eastAsia="Arial" w:hAnsi="Arial"/>
          <w:b/>
          <w:bCs/>
          <w:color w:val="BB0000"/>
          <w:spacing w:val="120"/>
          <w:sz w:val="18"/>
          <w:szCs w:val="18"/>
        </w:rPr>
        <w:t xml:space="preserve">IMPORTANT NOTE</w:t>
      </w:r>
    </w:p>
    <w:p>
      <w:pPr>
        <w:spacing w:after="120" w:before="0"/>
      </w:pPr>
      <w:r>
        <w:rPr>
          <w:rFonts w:ascii="Arial" w:cs="Arial" w:eastAsia="Arial" w:hAnsi="Arial"/>
          <w:color w:val="44413C"/>
          <w:sz w:val="20"/>
          <w:szCs w:val="20"/>
        </w:rPr>
        <w:t xml:space="preserve">OSU EcoCAR works with proprietary and competition-confidential data as part of the EcoCAR Innovation Challenge. Partnership benefits are scoped accordingly — no internal project data, competition strategy, or Stellantis-provided information is shared with sponsors. Product evaluation findings shared with partners are limited to non-confidential performance observations.</w:t>
      </w:r>
    </w:p>
    <w:p>
      <w:pPr>
        <w:spacing w:after="400" w:before="0"/>
      </w:pPr>
    </w:p>
    <w:p>
      <w:pPr>
        <w:jc w:val="center"/>
      </w:pPr>
      <w:r>
        <w:rPr>
          <w:rFonts w:ascii="Arial" w:cs="Arial" w:eastAsia="Arial" w:hAnsi="Arial"/>
          <w:color w:val="A8A49E"/>
          <w:sz w:val="16"/>
          <w:szCs w:val="16"/>
        </w:rPr>
        <w:t xml:space="preserve">© 2026 OSU EcoCAR · The Ohio State University · Intended for prospective partners only.</w:t>
      </w:r>
    </w:p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0DEDA" w:sz="1" w:space="4"/>
      </w:pBdr>
      <w:jc w:val="center"/>
    </w:pPr>
    <w:r>
      <w:rPr>
        <w:rFonts w:ascii="Arial" w:cs="Arial" w:eastAsia="Arial" w:hAnsi="Arial"/>
        <w:color w:val="A8A49E"/>
        <w:sz w:val="16"/>
        <w:szCs w:val="16"/>
      </w:rPr>
      <w:t xml:space="preserve">Page </w:t>
    </w:r>
    <w:r>
      <w:rPr>
        <w:rFonts w:ascii="Arial" w:cs="Arial" w:eastAsia="Arial" w:hAnsi="Arial"/>
        <w:color w:val="A8A49E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0DEDA" w:sz="1" w:space="4"/>
      </w:pBdr>
      <w:tabs>
        <w:tab w:val="right" w:pos="10080"/>
      </w:tabs>
    </w:pPr>
    <w:r>
      <w:rPr>
        <w:rFonts w:ascii="Arial" w:cs="Arial" w:eastAsia="Arial" w:hAnsi="Arial"/>
        <w:b/>
        <w:bCs/>
        <w:color w:val="BB0000"/>
        <w:sz w:val="16"/>
        <w:szCs w:val="16"/>
      </w:rPr>
      <w:t xml:space="preserve">OSU</w:t>
    </w:r>
    <w:r>
      <w:rPr>
        <w:rFonts w:ascii="Arial" w:cs="Arial" w:eastAsia="Arial" w:hAnsi="Arial"/>
        <w:b/>
        <w:bCs/>
        <w:color w:val="1A1917"/>
        <w:sz w:val="16"/>
        <w:szCs w:val="16"/>
      </w:rPr>
      <w:t xml:space="preserve">EcoCAR</w:t>
    </w:r>
    <w:r>
      <w:rPr>
        <w:rFonts w:ascii="Arial" w:cs="Arial" w:eastAsia="Arial" w:hAnsi="Arial"/>
        <w:color w:val="A8A49E"/>
        <w:sz w:val="16"/>
        <w:szCs w:val="16"/>
      </w:rPr>
      <w:t xml:space="preserve">	Partnership Prospectus — Confidential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2026-06-20T02:49:34.611Z</dcterms:created>
  <dcterms:modified xsi:type="dcterms:W3CDTF">2026-06-20T02:49:34.612Z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